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DB" w:rsidRDefault="00E57FDB" w:rsidP="00E57FDB">
      <w:pPr>
        <w:pStyle w:val="2"/>
        <w:pBdr>
          <w:bottom w:val="single" w:sz="6" w:space="4" w:color="C0C0C0"/>
        </w:pBd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74C84"/>
          <w:sz w:val="24"/>
          <w:szCs w:val="24"/>
        </w:rPr>
      </w:pPr>
      <w:bookmarkStart w:id="0" w:name="_GoBack"/>
      <w:r>
        <w:rPr>
          <w:rFonts w:ascii="Arial" w:hAnsi="Arial" w:cs="Arial"/>
          <w:color w:val="374C84"/>
          <w:sz w:val="24"/>
          <w:szCs w:val="24"/>
        </w:rPr>
        <w:t>Федеральный закон от 31 июля 2020 г. № 270-ФЗ вступит в силу 30 сентября 2020 года и ужесточит требования к организаторам азартных игр</w:t>
      </w:r>
    </w:p>
    <w:bookmarkEnd w:id="0"/>
    <w:p w:rsidR="00E57FDB" w:rsidRDefault="00E57FDB" w:rsidP="00E57FDB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Деятельность по организации и проведению азартных игр в букмекерских конторах будет лицензироваться отдельно от аналогичной деятельности в тотализаторах. Особенности приостановления и аннулирования лицензии букмекера появятся в законе.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Кроме того, букмекеров обяжут получать банковские гарантии только в кредитных организациях, отвечающих установленным требованиям, а субъектов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профспорта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включая общероссийские спортивные федерации и профессиональные спортивные лиги, – размещать на своих сайтах перечень заключенных с организаторами азартных игр соглашений о предоставлении информации о спортивных соревнованиях.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свою очередь, организаторам азартных игр в тотализаторе разрешат самостоятельно определять событие, от которого зависит исход пари и которое может наступить или не наступить исключительно в ходе испытаний лошадей на ипподромах. В зонах обслуживания участников азартных игр букмекерских контор или тотализаторов, их пунктов приема ставок разрешат использовать только то оборудование, которое соответствует установленным признакам.</w:t>
      </w:r>
    </w:p>
    <w:p w:rsidR="00E57FDB" w:rsidRDefault="00E57FDB" w:rsidP="00E57FDB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Организаторам азартных игр в букмекерских конторах и тотализаторах предписано в течение одного года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привести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свою деятельность в соответствие с новыми требованиями и переоформить лицензии.</w:t>
      </w:r>
    </w:p>
    <w:p w:rsidR="003F2174" w:rsidRDefault="003F2174"/>
    <w:sectPr w:rsidR="003F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7B0"/>
    <w:multiLevelType w:val="multilevel"/>
    <w:tmpl w:val="C90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83DD3"/>
    <w:multiLevelType w:val="multilevel"/>
    <w:tmpl w:val="EF3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87F6C"/>
    <w:multiLevelType w:val="multilevel"/>
    <w:tmpl w:val="7282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E"/>
    <w:rsid w:val="00025B34"/>
    <w:rsid w:val="000E5D1D"/>
    <w:rsid w:val="000F751F"/>
    <w:rsid w:val="00154A93"/>
    <w:rsid w:val="0019207F"/>
    <w:rsid w:val="002A2FBE"/>
    <w:rsid w:val="003F2174"/>
    <w:rsid w:val="004E1F4E"/>
    <w:rsid w:val="00586308"/>
    <w:rsid w:val="00621C1E"/>
    <w:rsid w:val="006D279C"/>
    <w:rsid w:val="006D7B09"/>
    <w:rsid w:val="00876228"/>
    <w:rsid w:val="00924360"/>
    <w:rsid w:val="009376CE"/>
    <w:rsid w:val="009421A5"/>
    <w:rsid w:val="00A04837"/>
    <w:rsid w:val="00B146BA"/>
    <w:rsid w:val="00D54DBD"/>
    <w:rsid w:val="00DF6648"/>
    <w:rsid w:val="00E57FDB"/>
    <w:rsid w:val="00E71EDF"/>
    <w:rsid w:val="00F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E1F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E1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2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2020-11-19T13:10:00Z</dcterms:created>
  <dcterms:modified xsi:type="dcterms:W3CDTF">2020-11-19T13:10:00Z</dcterms:modified>
</cp:coreProperties>
</file>