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18" w:rsidRDefault="00631918" w:rsidP="00631918">
      <w:pPr>
        <w:pStyle w:val="a3"/>
        <w:shd w:val="clear" w:color="auto" w:fill="FFFFFF"/>
        <w:spacing w:before="0" w:beforeAutospacing="0" w:after="75" w:afterAutospacing="0"/>
        <w:ind w:firstLine="330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В фельдшерских здравпунктах должны быть компьютеры с доступом в Интернет</w:t>
      </w:r>
    </w:p>
    <w:bookmarkEnd w:id="0"/>
    <w:p w:rsidR="00631918" w:rsidRDefault="00631918" w:rsidP="0063191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Минздрав внес поправки, в соответствии с которыми:</w:t>
      </w:r>
    </w:p>
    <w:p w:rsidR="00631918" w:rsidRDefault="00631918" w:rsidP="0063191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уточняется рекомендуемая структура поликлиники;</w:t>
      </w:r>
      <w:r>
        <w:rPr>
          <w:rFonts w:ascii="Tahoma" w:hAnsi="Tahoma" w:cs="Tahoma"/>
          <w:color w:val="000000"/>
          <w:sz w:val="21"/>
          <w:szCs w:val="21"/>
        </w:rPr>
        <w:br/>
        <w:t>- перечисляются отделения (кабинеты) первичной специализированной медико-санитарной помощи и диагностические отделения (кабинеты), которые рекомендуется предусматривать в структуре поликлиники в зависимости от численности прикрепленного населения.</w:t>
      </w:r>
      <w:r>
        <w:rPr>
          <w:rFonts w:ascii="Tahoma" w:hAnsi="Tahoma" w:cs="Tahoma"/>
          <w:color w:val="000000"/>
          <w:sz w:val="21"/>
          <w:szCs w:val="21"/>
        </w:rPr>
        <w:br/>
        <w:t>Также установлен стандарт оснащения:</w:t>
      </w:r>
      <w:r>
        <w:rPr>
          <w:rFonts w:ascii="Tahoma" w:hAnsi="Tahoma" w:cs="Tahoma"/>
          <w:color w:val="000000"/>
          <w:sz w:val="21"/>
          <w:szCs w:val="21"/>
        </w:rPr>
        <w:br/>
        <w:t>- отделения (кабинета) УЗИ;</w:t>
      </w:r>
      <w:r>
        <w:rPr>
          <w:rFonts w:ascii="Tahoma" w:hAnsi="Tahoma" w:cs="Tahoma"/>
          <w:color w:val="000000"/>
          <w:sz w:val="21"/>
          <w:szCs w:val="21"/>
        </w:rPr>
        <w:br/>
        <w:t>- рентгеновского кабинета;</w:t>
      </w:r>
      <w:r>
        <w:rPr>
          <w:rFonts w:ascii="Tahoma" w:hAnsi="Tahoma" w:cs="Tahoma"/>
          <w:color w:val="000000"/>
          <w:sz w:val="21"/>
          <w:szCs w:val="21"/>
        </w:rPr>
        <w:br/>
        <w:t>- кабинетов для проведения флюорографии, маммографии, МРТ и КТ;</w:t>
      </w:r>
      <w:r>
        <w:rPr>
          <w:rFonts w:ascii="Tahoma" w:hAnsi="Tahoma" w:cs="Tahoma"/>
          <w:color w:val="000000"/>
          <w:sz w:val="21"/>
          <w:szCs w:val="21"/>
        </w:rPr>
        <w:br/>
        <w:t>- прививочного кабинета.</w:t>
      </w:r>
    </w:p>
    <w:p w:rsidR="00631918" w:rsidRDefault="00631918" w:rsidP="0063191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Рабочие места врача (фельдшера), акушера-гинеколога (акушерки) и медсестры врачебной амбулатории (фельдшерско-акушерского пункта, фельдшерского здравпункта) должны быть оснащены компьютером с выходом в Интернет.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При наличии должностей врача акушера-гинеколога (акушерки) также потребуются набор гинекологических инструментов и кольпоскоп (Приказ Министерства здравоохранения РФ от 3 декабря 2019 г. N 984н "О внесении изменений в Положение об организации оказания первичной медико-санитарной помощи взрослому населению, утвержденное приказом Министерства здравоохранения и социального развития Российской Федерации от 15 мая 2012 г. N 543н").</w:t>
      </w:r>
      <w:proofErr w:type="gramEnd"/>
    </w:p>
    <w:p w:rsidR="00C94A89" w:rsidRDefault="00C94A89"/>
    <w:sectPr w:rsidR="00C9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AC"/>
    <w:rsid w:val="00631918"/>
    <w:rsid w:val="00AE71AC"/>
    <w:rsid w:val="00C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2020-02-26T12:21:00Z</dcterms:created>
  <dcterms:modified xsi:type="dcterms:W3CDTF">2020-02-26T12:21:00Z</dcterms:modified>
</cp:coreProperties>
</file>