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7D" w:rsidRPr="00EF177D" w:rsidRDefault="008D7ED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5A34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0" locked="0" layoutInCell="1" allowOverlap="1" wp14:anchorId="76DA4F96" wp14:editId="302C1917">
            <wp:simplePos x="0" y="0"/>
            <wp:positionH relativeFrom="margin">
              <wp:posOffset>2880360</wp:posOffset>
            </wp:positionH>
            <wp:positionV relativeFrom="margin">
              <wp:posOffset>-168910</wp:posOffset>
            </wp:positionV>
            <wp:extent cx="904875" cy="866140"/>
            <wp:effectExtent l="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0970" w:rsidRDefault="00CA0970" w:rsidP="00CA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A0970" w:rsidRDefault="00CA0970" w:rsidP="00CA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A0970" w:rsidRPr="002C29DF" w:rsidRDefault="00CA0970" w:rsidP="00CA0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A0970" w:rsidRDefault="00CA0970" w:rsidP="00CA0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34" w:rsidRPr="008D7EDD" w:rsidRDefault="004E5A34" w:rsidP="004E5A3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D7EDD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4E5A34" w:rsidRDefault="004E5A34" w:rsidP="004E5A34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4E5A34">
        <w:rPr>
          <w:rFonts w:ascii="Times New Roman" w:hAnsi="Times New Roman"/>
          <w:bCs/>
          <w:sz w:val="32"/>
          <w:szCs w:val="32"/>
        </w:rPr>
        <w:t>МУНИЦИПАЛЬНОГО ОБРАЗОВАНИЯ «ЧАРОДИНСКИЙ РАЙОН»</w:t>
      </w:r>
    </w:p>
    <w:p w:rsidR="008D7EDD" w:rsidRPr="008D7EDD" w:rsidRDefault="008D7EDD" w:rsidP="004E5A34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4E5A34" w:rsidRDefault="004E5A34" w:rsidP="004E5A3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D7EDD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8D7EDD" w:rsidRPr="008D7EDD" w:rsidRDefault="008D7EDD" w:rsidP="004E5A3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E5A34" w:rsidRPr="008D7EDD" w:rsidRDefault="004E5A34" w:rsidP="004E5A3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D7EDD">
        <w:rPr>
          <w:rFonts w:ascii="Times New Roman" w:hAnsi="Times New Roman"/>
          <w:sz w:val="24"/>
          <w:szCs w:val="24"/>
        </w:rPr>
        <w:t>от</w:t>
      </w:r>
      <w:proofErr w:type="gramEnd"/>
      <w:r w:rsidRPr="008D7EDD">
        <w:rPr>
          <w:rFonts w:ascii="Times New Roman" w:hAnsi="Times New Roman"/>
          <w:sz w:val="24"/>
          <w:szCs w:val="24"/>
        </w:rPr>
        <w:t xml:space="preserve"> </w:t>
      </w:r>
      <w:r w:rsidR="0043674E">
        <w:rPr>
          <w:rFonts w:ascii="Times New Roman" w:hAnsi="Times New Roman"/>
          <w:sz w:val="24"/>
          <w:szCs w:val="24"/>
        </w:rPr>
        <w:t>21 мая 2019 г. № 40</w:t>
      </w:r>
    </w:p>
    <w:p w:rsidR="004E5A34" w:rsidRPr="008D7EDD" w:rsidRDefault="004E5A34" w:rsidP="004E5A3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D7EDD">
        <w:rPr>
          <w:rFonts w:ascii="Times New Roman" w:hAnsi="Times New Roman"/>
          <w:sz w:val="24"/>
          <w:szCs w:val="24"/>
        </w:rPr>
        <w:t>с. Цуриб</w:t>
      </w:r>
    </w:p>
    <w:p w:rsidR="00CA0970" w:rsidRPr="00700199" w:rsidRDefault="00CA0970" w:rsidP="00CA0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0970" w:rsidRDefault="00CA0970" w:rsidP="00CA0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в </w:t>
      </w:r>
      <w:r w:rsidR="004E5A34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4E5A34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4E5A3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E4F0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A0970" w:rsidRDefault="00CA0970" w:rsidP="00CA0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0970" w:rsidRPr="00486C62" w:rsidRDefault="00CA0970" w:rsidP="00CA0970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5A34" w:rsidRPr="00FC1173" w:rsidRDefault="00FC1173" w:rsidP="00FC11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CA0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исполнение </w:t>
      </w:r>
      <w:r w:rsidR="00CA0970"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Национального плана развития конкуренции в Российской Федерации на 2018-2020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="00CA0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 октября 2018 г. N 2258-</w:t>
      </w:r>
      <w:r w:rsidR="00CA0970" w:rsidRPr="00AC7D2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4E5A34" w:rsidRPr="00AC7D29">
        <w:rPr>
          <w:rFonts w:ascii="Times New Roman" w:hAnsi="Times New Roman"/>
          <w:sz w:val="28"/>
          <w:szCs w:val="28"/>
        </w:rPr>
        <w:t xml:space="preserve"> и руководствуясь Уставом</w:t>
      </w:r>
      <w:r w:rsidR="008D7ED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D7EDD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="008D7ED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 </w:t>
      </w:r>
      <w:r w:rsidR="008D7EDD">
        <w:rPr>
          <w:rFonts w:ascii="Times New Roman" w:hAnsi="Times New Roman"/>
          <w:sz w:val="28"/>
          <w:szCs w:val="28"/>
        </w:rPr>
        <w:t xml:space="preserve"> </w:t>
      </w:r>
      <w:r w:rsidR="008D7EDD" w:rsidRPr="00FC1173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CA0970" w:rsidRDefault="00CA0970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8D7EDD">
        <w:rPr>
          <w:rFonts w:ascii="Times New Roman" w:hAnsi="Times New Roman" w:cs="Times New Roman"/>
          <w:b w:val="0"/>
          <w:sz w:val="28"/>
          <w:szCs w:val="28"/>
        </w:rPr>
        <w:t xml:space="preserve"> прилагаемое</w:t>
      </w:r>
      <w:r w:rsidRPr="008A4C00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</w:t>
      </w:r>
      <w:r w:rsidR="004E5A34" w:rsidRPr="004E5A34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proofErr w:type="spellStart"/>
      <w:r w:rsidR="004E5A34" w:rsidRPr="004E5A34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="004E5A34" w:rsidRPr="004E5A3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D7EDD">
        <w:rPr>
          <w:rFonts w:ascii="Times New Roman" w:hAnsi="Times New Roman" w:cs="Times New Roman"/>
          <w:sz w:val="28"/>
          <w:szCs w:val="28"/>
        </w:rPr>
        <w:t>.</w:t>
      </w:r>
    </w:p>
    <w:p w:rsidR="00CA0970" w:rsidRDefault="00CA0970" w:rsidP="00FC1173">
      <w:pPr>
        <w:pStyle w:val="a7"/>
        <w:widowControl w:val="0"/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0914">
        <w:rPr>
          <w:rFonts w:ascii="Times New Roman" w:hAnsi="Times New Roman"/>
          <w:sz w:val="28"/>
          <w:szCs w:val="28"/>
        </w:rPr>
        <w:t>2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начальника отдела   сельского хозяйства, экономики и управление муниципальной собственностью</w:t>
      </w:r>
      <w:r w:rsidR="0043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43674E">
        <w:rPr>
          <w:rFonts w:ascii="Times New Roman" w:eastAsia="Times New Roman" w:hAnsi="Times New Roman"/>
          <w:bCs/>
          <w:sz w:val="28"/>
          <w:szCs w:val="28"/>
          <w:lang w:eastAsia="ru-RU"/>
        </w:rPr>
        <w:t>Чародинский</w:t>
      </w:r>
      <w:proofErr w:type="spellEnd"/>
      <w:r w:rsidR="0043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>Кадиева</w:t>
      </w:r>
      <w:proofErr w:type="spellEnd"/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Г.Х. и</w:t>
      </w:r>
      <w:r w:rsidR="008D7EDD"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ведущего</w:t>
      </w:r>
      <w:r w:rsidR="004E5A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специалиста по закупкам и 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предпринимательству </w:t>
      </w:r>
      <w:proofErr w:type="spellStart"/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>Раджабова</w:t>
      </w:r>
      <w:proofErr w:type="spellEnd"/>
      <w:r w:rsidR="004E5A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Р.Б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8D7EDD"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полномоченными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должностными лицами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>, ответственным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организацию и функционирование системы внутреннего обеспечения соответствия требованиям антимонопольного законодательства </w:t>
      </w:r>
      <w:r w:rsidR="00A04CC8" w:rsidRPr="008A4C00">
        <w:rPr>
          <w:rFonts w:ascii="Times New Roman" w:hAnsi="Times New Roman"/>
          <w:sz w:val="28"/>
          <w:szCs w:val="28"/>
        </w:rPr>
        <w:t xml:space="preserve">в </w:t>
      </w:r>
      <w:r w:rsidR="00A04CC8" w:rsidRPr="00A04CC8">
        <w:rPr>
          <w:rFonts w:ascii="Times New Roman" w:hAnsi="Times New Roman"/>
          <w:sz w:val="28"/>
          <w:szCs w:val="28"/>
        </w:rPr>
        <w:t>муниципальном образовании «</w:t>
      </w:r>
      <w:proofErr w:type="spellStart"/>
      <w:r w:rsidR="00A04CC8" w:rsidRPr="00A04CC8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="00A04CC8" w:rsidRPr="00A04CC8">
        <w:rPr>
          <w:rFonts w:ascii="Times New Roman" w:hAnsi="Times New Roman"/>
          <w:sz w:val="28"/>
          <w:szCs w:val="28"/>
        </w:rPr>
        <w:t xml:space="preserve"> район»</w:t>
      </w:r>
      <w:r w:rsidR="00A04CC8">
        <w:rPr>
          <w:rFonts w:ascii="Times New Roman" w:hAnsi="Times New Roman"/>
          <w:sz w:val="28"/>
          <w:szCs w:val="28"/>
        </w:rPr>
        <w:t xml:space="preserve"> </w:t>
      </w:r>
      <w:r w:rsidR="00A04CC8" w:rsidRPr="000E4F01">
        <w:rPr>
          <w:rFonts w:ascii="Times New Roman" w:hAnsi="Times New Roman"/>
          <w:sz w:val="28"/>
          <w:szCs w:val="28"/>
        </w:rPr>
        <w:t xml:space="preserve"> </w:t>
      </w:r>
      <w:r w:rsidR="008D7E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соответственно – уполномоченное подразделение </w:t>
      </w:r>
      <w:r w:rsidRPr="00340914">
        <w:rPr>
          <w:rFonts w:ascii="Times New Roman" w:eastAsia="Times New Roman" w:hAnsi="Times New Roman"/>
          <w:bCs/>
          <w:sz w:val="28"/>
          <w:szCs w:val="28"/>
          <w:lang w:eastAsia="ru-RU"/>
        </w:rPr>
        <w:t>(должностное лицо)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04CC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  <w:r w:rsidRPr="00B50961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FC1173" w:rsidRPr="00B50961" w:rsidRDefault="00FC1173" w:rsidP="00FC1173">
      <w:pPr>
        <w:pStyle w:val="a7"/>
        <w:widowControl w:val="0"/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0970" w:rsidRDefault="008D7EDD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Руководителям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0970" w:rsidRPr="000E4F01" w:rsidRDefault="00CA0970" w:rsidP="00FC1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0E4F01" w:rsidRDefault="008D7EDD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рганизовать работу в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возглавляемых подразделениях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Положением об организации системы внутреннего обеспечения </w:t>
      </w:r>
      <w:r w:rsidR="00CA097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требованиям 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антимонопольного законодательства в </w:t>
      </w:r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proofErr w:type="spellStart"/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настоящим 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Default="008D7EDD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беспечить внесение изменений в должностные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регламенты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>должностные инструкции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возглавляемых подразделений в части требований о знании и изучении антимонопольного законод</w:t>
      </w:r>
      <w:r w:rsidR="00CA0970">
        <w:rPr>
          <w:rFonts w:ascii="Times New Roman" w:hAnsi="Times New Roman" w:cs="Times New Roman"/>
          <w:b w:val="0"/>
          <w:sz w:val="28"/>
          <w:szCs w:val="28"/>
        </w:rPr>
        <w:t>ательства Российской Федерации.</w:t>
      </w:r>
    </w:p>
    <w:p w:rsidR="00CA0970" w:rsidRPr="000E4F01" w:rsidRDefault="00CA0970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74E" w:rsidRDefault="00CA0970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Управляющему делами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D7E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 w:rsidR="008D7EDD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="008D7ED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4367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0970" w:rsidRDefault="0043674E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обеспечить</w:t>
      </w:r>
      <w:r w:rsidR="008D7EDD">
        <w:rPr>
          <w:rFonts w:ascii="Times New Roman" w:hAnsi="Times New Roman" w:cs="Times New Roman"/>
          <w:b w:val="0"/>
          <w:sz w:val="28"/>
          <w:szCs w:val="28"/>
        </w:rPr>
        <w:t xml:space="preserve"> вручение копии настоящего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EDD">
        <w:rPr>
          <w:rFonts w:ascii="Times New Roman" w:hAnsi="Times New Roman" w:cs="Times New Roman"/>
          <w:b w:val="0"/>
          <w:sz w:val="28"/>
          <w:szCs w:val="28"/>
        </w:rPr>
        <w:t>постановления ответственным лицам под роспись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Default="0043674E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CA0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азместить настоящее постановление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>я</w:t>
      </w:r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="00A04CC8" w:rsidRPr="00A04CC8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04C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="00CA0970" w:rsidRPr="000E4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Default="00CA0970" w:rsidP="00FC1173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Default="004A3E9A" w:rsidP="00FC117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09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0970" w:rsidRPr="00EF177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367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остановления</w:t>
      </w:r>
      <w:r w:rsidR="00CA0970" w:rsidRPr="00EF1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970" w:rsidRPr="00E930F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CA0970" w:rsidRDefault="00CA0970" w:rsidP="00FC117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970" w:rsidRDefault="00CA0970" w:rsidP="00FC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674E" w:rsidRDefault="00CA0970" w:rsidP="00FC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4A3E9A" w:rsidRPr="0043674E" w:rsidRDefault="0043674E" w:rsidP="00FC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Глава а</w:t>
      </w:r>
      <w:r w:rsidR="004A3E9A" w:rsidRPr="004A3E9A">
        <w:rPr>
          <w:rFonts w:ascii="Times New Roman" w:hAnsi="Times New Roman"/>
          <w:b/>
          <w:sz w:val="28"/>
          <w:szCs w:val="28"/>
        </w:rPr>
        <w:t>дминистрации</w:t>
      </w:r>
    </w:p>
    <w:p w:rsidR="004A3E9A" w:rsidRPr="004A3E9A" w:rsidRDefault="004A3E9A" w:rsidP="00FC11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A3E9A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A3E9A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4A3E9A" w:rsidRPr="004A3E9A" w:rsidRDefault="004A3E9A" w:rsidP="00FC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E9A">
        <w:rPr>
          <w:rFonts w:ascii="Times New Roman" w:hAnsi="Times New Roman"/>
          <w:b/>
          <w:sz w:val="28"/>
          <w:szCs w:val="28"/>
        </w:rPr>
        <w:t xml:space="preserve">   </w:t>
      </w:r>
      <w:r w:rsidR="0043674E">
        <w:rPr>
          <w:rFonts w:ascii="Times New Roman" w:hAnsi="Times New Roman"/>
          <w:b/>
          <w:sz w:val="28"/>
          <w:szCs w:val="28"/>
        </w:rPr>
        <w:t xml:space="preserve">  </w:t>
      </w:r>
      <w:r w:rsidRPr="004A3E9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A3E9A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A3E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A3E9A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4A3E9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3674E">
        <w:rPr>
          <w:rFonts w:ascii="Times New Roman" w:hAnsi="Times New Roman"/>
          <w:b/>
          <w:sz w:val="28"/>
          <w:szCs w:val="28"/>
        </w:rPr>
        <w:t xml:space="preserve">           </w:t>
      </w:r>
      <w:r w:rsidRPr="004A3E9A">
        <w:rPr>
          <w:rFonts w:ascii="Times New Roman" w:hAnsi="Times New Roman"/>
          <w:b/>
          <w:sz w:val="28"/>
          <w:szCs w:val="28"/>
        </w:rPr>
        <w:t xml:space="preserve">                              М.А. Магомедов</w:t>
      </w: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129C" w:rsidRDefault="00B8129C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129C" w:rsidRDefault="00B8129C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129C" w:rsidRDefault="00B8129C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129C" w:rsidRDefault="00B8129C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3674E" w:rsidRDefault="0043674E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3674E" w:rsidRDefault="0043674E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3674E" w:rsidRDefault="0043674E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3674E" w:rsidRPr="00C16639" w:rsidRDefault="0043674E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43674E" w:rsidP="0043674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Утверждено</w:t>
      </w:r>
    </w:p>
    <w:p w:rsidR="0043674E" w:rsidRDefault="0043674E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</w:t>
      </w:r>
    </w:p>
    <w:p w:rsidR="0043674E" w:rsidRDefault="0043674E" w:rsidP="0043674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образования </w:t>
      </w:r>
    </w:p>
    <w:p w:rsidR="0043674E" w:rsidRDefault="0043674E" w:rsidP="0043674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район»</w:t>
      </w:r>
    </w:p>
    <w:p w:rsidR="0043674E" w:rsidRPr="00DE5DC7" w:rsidRDefault="0043674E" w:rsidP="0043674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21 мая 2019 г. №40</w:t>
      </w: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970" w:rsidRPr="00EF177D" w:rsidRDefault="00CA0970" w:rsidP="00CA0970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F177D">
        <w:rPr>
          <w:rFonts w:ascii="Times New Roman" w:hAnsi="Times New Roman" w:cs="Times New Roman"/>
          <w:sz w:val="28"/>
          <w:szCs w:val="28"/>
        </w:rPr>
        <w:t>Положение</w:t>
      </w:r>
    </w:p>
    <w:p w:rsidR="0043674E" w:rsidRDefault="00CA0970" w:rsidP="00C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77D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EF177D">
        <w:rPr>
          <w:rFonts w:ascii="Times New Roman" w:hAnsi="Times New Roman"/>
          <w:b/>
          <w:sz w:val="28"/>
          <w:szCs w:val="28"/>
        </w:rPr>
        <w:t xml:space="preserve"> организации системы внутреннего обеспечения соответствия </w:t>
      </w:r>
    </w:p>
    <w:p w:rsidR="0043674E" w:rsidRDefault="00CA0970" w:rsidP="00C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77D">
        <w:rPr>
          <w:rFonts w:ascii="Times New Roman" w:hAnsi="Times New Roman"/>
          <w:b/>
          <w:sz w:val="28"/>
          <w:szCs w:val="28"/>
        </w:rPr>
        <w:t>требованиям</w:t>
      </w:r>
      <w:proofErr w:type="gramEnd"/>
      <w:r w:rsidRPr="00EF177D">
        <w:rPr>
          <w:rFonts w:ascii="Times New Roman" w:hAnsi="Times New Roman"/>
          <w:b/>
          <w:sz w:val="28"/>
          <w:szCs w:val="28"/>
        </w:rPr>
        <w:t xml:space="preserve"> антимонопольного законодательства </w:t>
      </w:r>
      <w:r w:rsidR="004A3E9A" w:rsidRPr="004A3E9A">
        <w:rPr>
          <w:rFonts w:ascii="Times New Roman" w:hAnsi="Times New Roman"/>
          <w:b/>
          <w:sz w:val="28"/>
          <w:szCs w:val="28"/>
        </w:rPr>
        <w:t xml:space="preserve">в </w:t>
      </w:r>
    </w:p>
    <w:p w:rsidR="00CA0970" w:rsidRPr="00EF177D" w:rsidRDefault="004A3E9A" w:rsidP="00CA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E9A"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 w:rsidRPr="004A3E9A">
        <w:rPr>
          <w:rFonts w:ascii="Times New Roman" w:hAnsi="Times New Roman"/>
          <w:b/>
          <w:sz w:val="28"/>
          <w:szCs w:val="28"/>
        </w:rPr>
        <w:t xml:space="preserve"> образовании «</w:t>
      </w:r>
      <w:proofErr w:type="spellStart"/>
      <w:r w:rsidRPr="004A3E9A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A3E9A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CA0970" w:rsidRPr="00EF177D">
        <w:rPr>
          <w:rFonts w:ascii="Times New Roman" w:hAnsi="Times New Roman"/>
          <w:b/>
          <w:sz w:val="28"/>
          <w:szCs w:val="28"/>
        </w:rPr>
        <w:t xml:space="preserve"> </w:t>
      </w:r>
      <w:r w:rsidR="0043674E">
        <w:rPr>
          <w:rFonts w:ascii="Times New Roman" w:hAnsi="Times New Roman"/>
          <w:b/>
          <w:sz w:val="28"/>
          <w:szCs w:val="28"/>
        </w:rPr>
        <w:t xml:space="preserve"> </w:t>
      </w:r>
    </w:p>
    <w:p w:rsidR="00CA0970" w:rsidRPr="00EF177D" w:rsidRDefault="00CA0970" w:rsidP="00CA0970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0970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разработано </w:t>
      </w:r>
      <w:r w:rsidRPr="00C3123A">
        <w:rPr>
          <w:rFonts w:ascii="Times New Roman" w:hAnsi="Times New Roman"/>
          <w:b w:val="0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4A3E9A" w:rsidRPr="004A3E9A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proofErr w:type="spellStart"/>
      <w:r w:rsidR="004A3E9A" w:rsidRPr="004A3E9A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="004A3E9A" w:rsidRPr="004A3E9A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4A3E9A">
        <w:rPr>
          <w:rFonts w:ascii="Times New Roman" w:hAnsi="Times New Roman" w:cs="Times New Roman"/>
          <w:sz w:val="28"/>
          <w:szCs w:val="28"/>
        </w:rPr>
        <w:t xml:space="preserve"> </w:t>
      </w: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 (далее - антимонопольный </w:t>
      </w:r>
      <w:proofErr w:type="spellStart"/>
      <w:r w:rsidRPr="00C3123A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CA0970" w:rsidRPr="00C3123A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123A">
        <w:rPr>
          <w:rFonts w:ascii="Times New Roman" w:hAnsi="Times New Roman" w:cs="Times New Roman"/>
          <w:b w:val="0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Целями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 xml:space="preserve"> являются: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обеспечение соответствия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деятельности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r w:rsidR="004A3E9A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4A3E9A"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требованиям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профилактика и сокращение количества нарушений требований антимонопольного законодательства в деятельности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повышение уровня правовой культуры в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Задачи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>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выявление рисков нарушений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управление рисками нарушений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контроль соответствия деятельности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A3E9A"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требованиям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оценка эффективности организации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в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A3E9A"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Принципы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0970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законность;</w:t>
      </w:r>
    </w:p>
    <w:p w:rsidR="003F5BC3" w:rsidRPr="003F5BC3" w:rsidRDefault="00CA0970" w:rsidP="003F5BC3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5BC3">
        <w:rPr>
          <w:rFonts w:ascii="Times New Roman" w:hAnsi="Times New Roman" w:cs="Times New Roman"/>
          <w:b w:val="0"/>
          <w:sz w:val="28"/>
          <w:szCs w:val="28"/>
        </w:rPr>
        <w:t>-</w:t>
      </w:r>
      <w:r w:rsidR="003F5BC3" w:rsidRPr="003F5BC3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заинтересованность руководства Муниципального образования в эффективности функционирования антимонопольного </w:t>
      </w:r>
      <w:proofErr w:type="spellStart"/>
      <w:r w:rsidR="003F5BC3" w:rsidRPr="003F5BC3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3F5BC3" w:rsidRPr="003F5BC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регулярность оценки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информационная открытость действующего </w:t>
      </w:r>
      <w:r w:rsidR="000F6A28" w:rsidRPr="00EF177D">
        <w:rPr>
          <w:rFonts w:ascii="Times New Roman" w:hAnsi="Times New Roman" w:cs="Times New Roman"/>
          <w:b w:val="0"/>
          <w:sz w:val="28"/>
          <w:szCs w:val="28"/>
        </w:rPr>
        <w:t>в</w:t>
      </w:r>
      <w:r w:rsidR="000F6A28">
        <w:rPr>
          <w:rFonts w:ascii="Times New Roman" w:hAnsi="Times New Roman"/>
          <w:b w:val="0"/>
          <w:sz w:val="28"/>
          <w:szCs w:val="28"/>
        </w:rPr>
        <w:t xml:space="preserve"> </w:t>
      </w:r>
      <w:r w:rsidR="004A3E9A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A3E9A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непрерывность анализа и функционирования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    совершенствование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3F5BC3" w:rsidRDefault="00CA0970" w:rsidP="00CA0970">
      <w:pPr>
        <w:pStyle w:val="ConsPlusNormal"/>
        <w:widowControl w:val="0"/>
        <w:numPr>
          <w:ilvl w:val="0"/>
          <w:numId w:val="1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BC3">
        <w:rPr>
          <w:rFonts w:ascii="Times New Roman" w:hAnsi="Times New Roman" w:cs="Times New Roman"/>
          <w:sz w:val="28"/>
          <w:szCs w:val="28"/>
        </w:rPr>
        <w:t>Уполномоченное подразд</w:t>
      </w:r>
      <w:r w:rsidR="00B8129C">
        <w:rPr>
          <w:rFonts w:ascii="Times New Roman" w:hAnsi="Times New Roman" w:cs="Times New Roman"/>
          <w:sz w:val="28"/>
          <w:szCs w:val="28"/>
        </w:rPr>
        <w:t>еление (должностное лицо) и</w:t>
      </w:r>
      <w:r w:rsidRPr="003F5BC3">
        <w:rPr>
          <w:rFonts w:ascii="Times New Roman" w:hAnsi="Times New Roman" w:cs="Times New Roman"/>
          <w:sz w:val="28"/>
          <w:szCs w:val="28"/>
        </w:rPr>
        <w:t xml:space="preserve"> коллегиальный орган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F5BC3">
        <w:rPr>
          <w:rFonts w:ascii="Times New Roman" w:hAnsi="Times New Roman"/>
          <w:b/>
          <w:sz w:val="28"/>
          <w:szCs w:val="28"/>
        </w:rPr>
        <w:t xml:space="preserve"> </w:t>
      </w:r>
    </w:p>
    <w:p w:rsidR="00CA0970" w:rsidRPr="003F5BC3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5BC3">
        <w:rPr>
          <w:rFonts w:ascii="Times New Roman" w:hAnsi="Times New Roman"/>
          <w:b w:val="0"/>
          <w:sz w:val="28"/>
          <w:szCs w:val="28"/>
        </w:rPr>
        <w:t xml:space="preserve">Общий контроль за организацией и функционированием в </w:t>
      </w:r>
      <w:r w:rsidR="000F6A28" w:rsidRPr="003F5BC3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hAnsi="Times New Roman"/>
          <w:b w:val="0"/>
          <w:sz w:val="28"/>
          <w:szCs w:val="28"/>
        </w:rPr>
        <w:t xml:space="preserve"> антимонопольного </w:t>
      </w:r>
      <w:proofErr w:type="spellStart"/>
      <w:r w:rsidRPr="003F5BC3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3F5BC3">
        <w:rPr>
          <w:rFonts w:ascii="Times New Roman" w:hAnsi="Times New Roman"/>
          <w:b w:val="0"/>
          <w:sz w:val="28"/>
          <w:szCs w:val="28"/>
        </w:rPr>
        <w:t xml:space="preserve"> осуществляется </w:t>
      </w:r>
      <w:r w:rsidR="000F6A28" w:rsidRPr="003F5BC3">
        <w:rPr>
          <w:rFonts w:ascii="Times New Roman" w:hAnsi="Times New Roman"/>
          <w:b w:val="0"/>
          <w:sz w:val="28"/>
          <w:szCs w:val="28"/>
        </w:rPr>
        <w:t>Главой администрации муниципального образования</w:t>
      </w:r>
      <w:r w:rsidRPr="003F5BC3">
        <w:rPr>
          <w:rFonts w:ascii="Times New Roman" w:hAnsi="Times New Roman"/>
          <w:b w:val="0"/>
          <w:sz w:val="28"/>
          <w:szCs w:val="28"/>
        </w:rPr>
        <w:t>, который: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- вводит в действие настоящий правовой акт об антимонопольном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, вносит в него изменения, а также принимает внутренние акты </w:t>
      </w:r>
      <w:r w:rsidR="000F6A28" w:rsidRPr="003F5BC3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регламентирующие функционирование антимонопольного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применяет предусмотренные законодательством Российской Федерации меры ответственности за несоблюдение </w:t>
      </w:r>
      <w:r w:rsidRPr="003F5BC3">
        <w:rPr>
          <w:rFonts w:ascii="Times New Roman" w:eastAsia="Times New Roman" w:hAnsi="Times New Roman"/>
          <w:sz w:val="28"/>
          <w:szCs w:val="28"/>
          <w:lang w:eastAsia="ar-SA"/>
        </w:rPr>
        <w:t>гражданскими служащими и работниками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A28" w:rsidRPr="003F5BC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правового акта об антимонопольном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 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контроль за устранением выявленных недостатков антимонопольного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целях организации и функционирования антимонопольного </w:t>
      </w:r>
      <w:proofErr w:type="spellStart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="000F6A28" w:rsidRPr="003F5BC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уполномоченного подразделения (должностных лиц) закрепляются решением </w:t>
      </w:r>
      <w:r w:rsidR="000F6A28"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F6A28" w:rsidRPr="003F5BC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сферой выполняемых должностных обязанностей.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При определении уполномоченного подразделения (назначении должностных лиц) </w:t>
      </w:r>
      <w:r w:rsidR="000F6A28" w:rsidRPr="003F5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6A28" w:rsidRPr="003F5BC3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следующими принципами:</w:t>
      </w:r>
    </w:p>
    <w:p w:rsidR="00CA0970" w:rsidRPr="003F5BC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подотчетность уполномоченного подразделения (должностных лиц) непосредственно </w:t>
      </w:r>
      <w:r w:rsidR="000F6A28" w:rsidRPr="003F5B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0F6A28" w:rsidRPr="003F5BC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970" w:rsidRPr="001930CF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BC3">
        <w:rPr>
          <w:rFonts w:ascii="Times New Roman" w:eastAsia="Times New Roman" w:hAnsi="Times New Roman"/>
          <w:sz w:val="28"/>
          <w:szCs w:val="28"/>
          <w:lang w:eastAsia="ru-RU"/>
        </w:rPr>
        <w:t>- достаточность полномочий и ресурсов, необходимых для выполнения своих задач уполномоченным подразделением (должностными лицами).</w:t>
      </w:r>
    </w:p>
    <w:p w:rsidR="00CA0970" w:rsidRPr="00EF177D" w:rsidRDefault="00CA0970" w:rsidP="00CA0970">
      <w:pPr>
        <w:pStyle w:val="ConsPlusNormal"/>
        <w:widowControl w:val="0"/>
        <w:tabs>
          <w:tab w:val="left" w:pos="993"/>
        </w:tabs>
        <w:ind w:firstLine="85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30CF">
        <w:rPr>
          <w:rFonts w:ascii="Times New Roman" w:hAnsi="Times New Roman"/>
          <w:b w:val="0"/>
          <w:sz w:val="28"/>
          <w:szCs w:val="28"/>
        </w:rPr>
        <w:t xml:space="preserve">2.4. </w:t>
      </w:r>
      <w:r w:rsidRPr="001930CF">
        <w:rPr>
          <w:rFonts w:ascii="Times New Roman" w:hAnsi="Times New Roman" w:cs="Times New Roman"/>
          <w:b w:val="0"/>
          <w:sz w:val="28"/>
          <w:szCs w:val="28"/>
        </w:rPr>
        <w:t>Основными функциональными обязанностями уполномоченного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подразделения являются: 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разработка, согласование и внедрение правовых актов </w:t>
      </w:r>
      <w:r w:rsidR="000F6A28" w:rsidRPr="000F6A28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развитие и функционирование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</w:t>
      </w:r>
      <w:r w:rsidR="006B616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координация и методологическое обеспечение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контроль за функционированием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выявление рисков нарушения антимонопольного законодательства в деятельности </w:t>
      </w:r>
      <w:r w:rsidR="000F6A28" w:rsidRPr="000F6A28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инициирование мероприятий по минимизации рисков нарушения антимонопольного законодательства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</w:t>
      </w:r>
      <w:r w:rsidR="006B616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- информирование должностных лиц</w:t>
      </w:r>
      <w:r w:rsidR="000F6A28" w:rsidRPr="000F6A28">
        <w:rPr>
          <w:rFonts w:ascii="Times New Roman" w:hAnsi="Times New Roman"/>
          <w:b w:val="0"/>
          <w:sz w:val="28"/>
          <w:szCs w:val="28"/>
        </w:rPr>
        <w:t xml:space="preserve"> 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в зоне ответственности которых имеются соответствующие антимонопольные риски, и руководителя </w:t>
      </w:r>
      <w:r w:rsidR="000F6A28" w:rsidRPr="000F6A28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0F6A28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о выявленных рисках;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организация взаимодействия с другими подразделениями </w:t>
      </w:r>
      <w:r w:rsidR="000F6A28" w:rsidRPr="000F6A28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0F6A28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вопросам реализации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взаимодействие с территориальным антимонопольным органом по вопросам организации и функционировании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6A28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 Оценку эффективности организации и функционирования в </w:t>
      </w:r>
      <w:r w:rsidR="000F6A28" w:rsidRPr="00FC1173">
        <w:rPr>
          <w:rFonts w:ascii="Times New Roman" w:hAnsi="Times New Roman"/>
          <w:color w:val="000000" w:themeColor="text1"/>
          <w:sz w:val="28"/>
          <w:szCs w:val="28"/>
        </w:rPr>
        <w:t>муниципальном образовании</w:t>
      </w: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антимонопольного </w:t>
      </w:r>
      <w:proofErr w:type="spellStart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осуществляет коллегиальный орган.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2.6. Функции коллегиального органа возлагаются на общественный Совет, созданный при </w:t>
      </w:r>
      <w:r w:rsidR="006B616D"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r w:rsidR="006B616D" w:rsidRPr="00FC117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постановлением Правительства Республики Дагестан от 29.05.2009 г. № 158 «О порядке образования общественных советов при органах исполнительной власти Республики Дагестан».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2.7. К функциям коллегиального органа относится: 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рассмотрение и оценка мероприятий в </w:t>
      </w:r>
      <w:r w:rsidR="006B616D" w:rsidRPr="00FC1173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6B616D"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части, касающейся функционирования антимонопольного </w:t>
      </w:r>
      <w:proofErr w:type="spellStart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рассмотрение и утверждение доклада об антимонопольном </w:t>
      </w:r>
      <w:proofErr w:type="spellStart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комплаенсе</w:t>
      </w:r>
      <w:proofErr w:type="spellEnd"/>
      <w:r w:rsidRPr="00FC11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A0970" w:rsidRPr="00FC1173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C16639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t>Выявление и оценка рисков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обеспечения соответстви</w:t>
      </w:r>
      <w:r w:rsidR="006B616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подразделениями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регулярной основе проводятся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проектов нормативных правовых актов</w:t>
      </w:r>
      <w:r w:rsidR="006B61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и действующих нормативных правовых актов </w:t>
      </w:r>
      <w:r w:rsidR="006B616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относящихся к сфере деятельности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 реализация которых связана с соблюдением требований антимонопольного законодательства (далее соответственно – проекты актов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действующие акты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), на предмет соответствия их антимонопольному законодательству.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Разработка и поддержание в актуальном состоянии методики выявления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внутренних и внешних рисков нарушения антимонопольного законодательства в рамках реализации 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Проведение систематической оценки эффективности разработанных и реализуемых мер контроля.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Проведение постоянного мониторинга для выявления 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выявленных 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</w:t>
      </w:r>
      <w:r w:rsidR="006B616D">
        <w:rPr>
          <w:rFonts w:ascii="Times New Roman" w:hAnsi="Times New Roman"/>
          <w:b w:val="0"/>
          <w:sz w:val="28"/>
          <w:szCs w:val="28"/>
        </w:rPr>
        <w:t>ей</w:t>
      </w:r>
      <w:r w:rsidR="006B616D" w:rsidRPr="006B61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сбор сведений, в том числе в подразделениях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о наличии выявленных контрольными органами нарушений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Составляется перечень выявленных нарушений антимонопольного законодательства.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</w:t>
      </w:r>
      <w:r w:rsidR="006B616D">
        <w:rPr>
          <w:rFonts w:ascii="Times New Roman" w:hAnsi="Times New Roman"/>
          <w:b w:val="0"/>
          <w:sz w:val="28"/>
          <w:szCs w:val="28"/>
        </w:rPr>
        <w:t>ей</w:t>
      </w:r>
      <w:r w:rsidR="006B616D" w:rsidRPr="006B61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недопущение повторения нарушения. Перечень нарушений антимонопольного законодательства должен содержать классификацию по сферам деятельности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действующих актов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на предмет соответствия их антимонопольному законодательству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проводится не реже одного раза в год.  При проведении данного анализа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Разрабатывается исчерпывающий перечень действующих актов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(далее - Перечень действующих актов) с указанием источника их публикации.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Перечень действующих актов размещается на официальном сайте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 в свободном доступе.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6B616D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 w:rsidR="006B616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представленных замечаний и предложений.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Проводится совещание с представителями </w:t>
      </w:r>
      <w:r w:rsidR="00DA39C7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>бизнес объединений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(иных общественных организаций (объединений) по обсуждению представленных предложений и замечаний к Перечню действующих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актов.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</w:t>
      </w:r>
      <w:r w:rsidR="00C71251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обоснованием целесообразности (нецелесообразности) внесения изменений (признания утратившими силу).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анализа проектов актов </w:t>
      </w:r>
      <w:r w:rsidR="00497D04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предмет соответствия их антимонопольному законодательству,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</w:t>
      </w:r>
      <w:r w:rsidR="00497D04">
        <w:rPr>
          <w:rFonts w:ascii="Times New Roman" w:hAnsi="Times New Roman"/>
          <w:b w:val="0"/>
          <w:sz w:val="28"/>
          <w:szCs w:val="28"/>
        </w:rPr>
        <w:t>ей</w:t>
      </w:r>
      <w:r w:rsidR="00497D04" w:rsidRPr="006B616D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Проекты актов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вместе с пояснительными записками размещаются на официальном сайте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в сети Интернет в свободном доступе.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поступивших предложений и замечаний.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полученных предложений и замечаний по проекту акта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подготавливается справка о выявлении (отсутствии) в проекте акта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положений, противоречащих антимонопольному законодательству.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При проведении мониторинга и анализа практики применения антимонопольного законодательства уполномоченным подразделением</w:t>
      </w:r>
      <w:r w:rsidR="00497D04"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постоянной основе осуществляется сбор сведений, в том числе в  подразделениях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о правоприменительной практике в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сбора указанной информации подготавливается аналитическая справка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об изменениях 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основных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>аспектах</w:t>
      </w:r>
      <w:r w:rsidR="00FC1173">
        <w:rPr>
          <w:rFonts w:ascii="Times New Roman" w:hAnsi="Times New Roman" w:cs="Times New Roman"/>
          <w:b w:val="0"/>
          <w:sz w:val="28"/>
          <w:szCs w:val="28"/>
        </w:rPr>
        <w:t xml:space="preserve"> правоприменительной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практики, а также о проблемах 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>право применения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Один раз в год проводятся рабочие совещания с представителями </w:t>
      </w:r>
      <w:r w:rsidR="00497D04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приглашением представителей антимонопольного органа по обсуждению результатов правоприменительной практики и по вопросам проблем 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>право применения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FC3824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3824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протокол, а также подготавливаются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>предложения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>по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 xml:space="preserve">решению проблем  </w:t>
      </w:r>
      <w:proofErr w:type="spellStart"/>
      <w:r w:rsidRPr="00FC3824">
        <w:rPr>
          <w:rFonts w:ascii="Times New Roman" w:hAnsi="Times New Roman" w:cs="Times New Roman"/>
          <w:b w:val="0"/>
          <w:sz w:val="28"/>
          <w:szCs w:val="28"/>
        </w:rPr>
        <w:t>правопри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>менения</w:t>
      </w:r>
      <w:proofErr w:type="spellEnd"/>
      <w:r w:rsidRPr="00FC38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5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выявлении отдельных рисков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</w:t>
      </w:r>
      <w:r w:rsidR="00497D04">
        <w:rPr>
          <w:rFonts w:ascii="Times New Roman" w:hAnsi="Times New Roman"/>
          <w:b w:val="0"/>
          <w:sz w:val="28"/>
          <w:szCs w:val="28"/>
        </w:rPr>
        <w:t>я</w:t>
      </w:r>
      <w:r w:rsidR="00497D04" w:rsidRPr="006B61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проводится их оценка в соответствии с таблицей 1: </w:t>
      </w:r>
    </w:p>
    <w:p w:rsidR="00497D04" w:rsidRDefault="00497D04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97D04" w:rsidRDefault="00497D04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665"/>
      </w:tblGrid>
      <w:tr w:rsidR="00CA0970" w:rsidRPr="00EF177D" w:rsidTr="008E3468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Описание риска</w:t>
            </w:r>
          </w:p>
        </w:tc>
      </w:tr>
      <w:tr w:rsidR="00CA0970" w:rsidRPr="00EF177D" w:rsidTr="008E3468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CA0970" w:rsidRPr="00EF177D" w:rsidRDefault="00CA0970" w:rsidP="008E3468">
            <w:pPr>
              <w:jc w:val="both"/>
              <w:rPr>
                <w:sz w:val="28"/>
                <w:szCs w:val="28"/>
              </w:rPr>
            </w:pPr>
          </w:p>
        </w:tc>
      </w:tr>
      <w:tr w:rsidR="00CA0970" w:rsidRPr="00EF177D" w:rsidTr="008E3468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 xml:space="preserve"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EF177D">
              <w:rPr>
                <w:rStyle w:val="2"/>
                <w:b w:val="0"/>
              </w:rPr>
              <w:t>отсутствуют</w:t>
            </w:r>
          </w:p>
        </w:tc>
      </w:tr>
      <w:tr w:rsidR="00CA0970" w:rsidRPr="00EF177D" w:rsidTr="008E3468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</w:t>
            </w:r>
          </w:p>
        </w:tc>
      </w:tr>
      <w:tr w:rsidR="00CA0970" w:rsidRPr="00EF177D" w:rsidTr="008E3468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lastRenderedPageBreak/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spacing w:after="0" w:line="240" w:lineRule="auto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CA0970" w:rsidRPr="00EF177D" w:rsidTr="008E3468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подразделениями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составляются карты рисков по форме согласно приложению 1 к настоящему Положению.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В карты рисков включаются: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выявленные риски (их описание), структурированные по уровню и направлениям деятельности;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причин возникновения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условий возникновения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мероприятия по минимизации и устранению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наличие (отсутствие) остаточных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вероятность повторного возникновения рисков.</w:t>
      </w:r>
    </w:p>
    <w:p w:rsidR="00CA0970" w:rsidRPr="00FC1173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1173">
        <w:rPr>
          <w:rFonts w:ascii="Times New Roman" w:hAnsi="Times New Roman" w:cs="Times New Roman"/>
          <w:b w:val="0"/>
          <w:sz w:val="28"/>
          <w:szCs w:val="28"/>
        </w:rPr>
        <w:t xml:space="preserve">Карты рисков составляются ежегодно до 1 марта, утверждаются </w:t>
      </w:r>
      <w:r w:rsidR="00497D04" w:rsidRPr="00FC1173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Pr="00FC1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D04" w:rsidRPr="00FC1173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FC11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1173">
        <w:rPr>
          <w:rFonts w:ascii="Times New Roman" w:hAnsi="Times New Roman" w:cs="Times New Roman"/>
          <w:b w:val="0"/>
          <w:sz w:val="28"/>
          <w:szCs w:val="28"/>
        </w:rPr>
        <w:t xml:space="preserve">или уполномоченным им лицом и размещаются на официальном сайте </w:t>
      </w:r>
      <w:r w:rsidR="00497D04" w:rsidRPr="00FC1173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FC11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1173">
        <w:rPr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>Проведение мероприятий по снижению рисков нарушения антимонопольного законодательства</w:t>
      </w:r>
      <w:bookmarkEnd w:id="3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утверждается </w:t>
      </w:r>
      <w:r w:rsidR="00497D04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или уполномоченным им лицом и размещается на официальном сайте</w:t>
      </w:r>
      <w:r w:rsidR="00497D04" w:rsidRPr="00497D04">
        <w:rPr>
          <w:rFonts w:ascii="Times New Roman" w:hAnsi="Times New Roman"/>
          <w:b w:val="0"/>
          <w:sz w:val="28"/>
          <w:szCs w:val="28"/>
        </w:rPr>
        <w:t xml:space="preserve">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(должностное лицо)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обучения государственных гражданских служащих и </w:t>
      </w:r>
      <w:r w:rsidR="00497D0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5D064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D04">
        <w:rPr>
          <w:rFonts w:ascii="Times New Roman" w:hAnsi="Times New Roman" w:cs="Times New Roman"/>
          <w:b w:val="0"/>
          <w:sz w:val="28"/>
          <w:szCs w:val="28"/>
        </w:rPr>
        <w:t>А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дминистраци</w:t>
      </w:r>
      <w:r w:rsidR="00497D04">
        <w:rPr>
          <w:rFonts w:ascii="Times New Roman" w:hAnsi="Times New Roman"/>
          <w:b w:val="0"/>
          <w:sz w:val="28"/>
          <w:szCs w:val="28"/>
        </w:rPr>
        <w:t>я</w:t>
      </w:r>
      <w:r w:rsidR="00497D04" w:rsidRPr="006B61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организует систематическое обучение своих </w:t>
      </w:r>
      <w:r w:rsidR="00497D0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служащих и работников требованиям антимонопольного законодательства 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следующих формах: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вводный (первичный) инструктаж;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целевой (внеплановый) инструктаж;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повышение квалификации;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плановая аттестация.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</w:t>
      </w:r>
      <w:r w:rsidR="00497D04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497D04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97D04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признаков нарушения (установления факта) антимонопольного законодательства в деятельности </w:t>
      </w:r>
      <w:r w:rsidR="003972DD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proofErr w:type="gramStart"/>
      <w:r w:rsidR="003972DD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Организация повышения квалификации государственных гражданских служащих</w:t>
      </w:r>
      <w:r w:rsidR="003972DD">
        <w:rPr>
          <w:rFonts w:ascii="Times New Roman" w:hAnsi="Times New Roman" w:cs="Times New Roman"/>
          <w:b w:val="0"/>
          <w:sz w:val="28"/>
          <w:szCs w:val="28"/>
        </w:rPr>
        <w:t>, муниципальных служащих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проведения аттестации государственных гражданских служащих </w:t>
      </w:r>
      <w:r w:rsidR="003972DD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(работников), в том числе по вопросам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осуществляется в соответствии с законодательством.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проведении ознакомления государственных гражданских служащих </w:t>
      </w:r>
      <w:r w:rsidR="003972DD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5D0640">
        <w:rPr>
          <w:rFonts w:ascii="Times New Roman" w:hAnsi="Times New Roman" w:cs="Times New Roman"/>
          <w:sz w:val="28"/>
          <w:szCs w:val="28"/>
        </w:rPr>
        <w:t xml:space="preserve">Оценка эффективности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bookmarkEnd w:id="4"/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целях оценки организации и функционирования в </w:t>
      </w:r>
      <w:r w:rsidR="003972DD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антимонопольного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2DD">
        <w:rPr>
          <w:rFonts w:ascii="Times New Roman" w:hAnsi="Times New Roman" w:cs="Times New Roman"/>
          <w:b w:val="0"/>
          <w:sz w:val="28"/>
          <w:szCs w:val="28"/>
        </w:rPr>
        <w:t>Постановлением Главы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2DD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 xml:space="preserve"> утверждаются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ключевые показатели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как отдельно уполномоченного подразделения, так и для </w:t>
      </w:r>
      <w:r w:rsidR="003972DD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r w:rsidR="00FC1173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FC1173" w:rsidRPr="00EF177D">
        <w:rPr>
          <w:rFonts w:ascii="Times New Roman" w:hAnsi="Times New Roman" w:cs="Times New Roman"/>
          <w:b w:val="0"/>
          <w:sz w:val="28"/>
          <w:szCs w:val="28"/>
        </w:rPr>
        <w:t>.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Ключевые показатели для уполномоченного подразделения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(должностного лица)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устанавливаются в целях оценки эффективности мероприятий, осуществляемых уполномоченным органом.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Ключевыми показателями для </w:t>
      </w:r>
      <w:r w:rsidR="003972D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целом устанавливаются в целях снижения рисков нарушения антимонопольного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законодательства в результате деятельности </w:t>
      </w:r>
      <w:r w:rsidR="003972DD" w:rsidRPr="006B616D"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 результатам выявления и оценки рисков, с учетом уровней рисков, приведенных в таблице 1 раздела 3 настоящего Положения.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(должностное лицо)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ежегодно проводит оценку достижения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Уполномоченное подразделение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(должностное лицо)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при необходимости ежегодно проводит актуализацию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171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должен содержать: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 проведении выявления и оценки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 проведении ознакомления государственных гражданских служащих</w:t>
      </w:r>
      <w:r w:rsidR="003972DD">
        <w:rPr>
          <w:rFonts w:ascii="Times New Roman" w:hAnsi="Times New Roman" w:cs="Times New Roman"/>
          <w:b w:val="0"/>
          <w:sz w:val="28"/>
          <w:szCs w:val="28"/>
        </w:rPr>
        <w:t>, муниципальных служащих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а также о проведении обучающих мероприятий;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7.2.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2DD" w:rsidRPr="006B616D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  <w:proofErr w:type="gramStart"/>
      <w:r w:rsidR="003972DD" w:rsidRPr="006B616D">
        <w:rPr>
          <w:rFonts w:ascii="Times New Roman" w:hAnsi="Times New Roman"/>
          <w:b w:val="0"/>
          <w:sz w:val="28"/>
          <w:szCs w:val="28"/>
        </w:rPr>
        <w:t>образования</w:t>
      </w:r>
      <w:r w:rsidR="003972DD" w:rsidRPr="00EF1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ежегодно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 1 марта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уполномоченным подразделением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антимонопольный орган для включения информации о мерах по организации и функционированию антимонопольного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 w:rsidRPr="005D0640">
        <w:rPr>
          <w:rFonts w:ascii="Times New Roman" w:hAnsi="Times New Roman" w:cs="Times New Roman"/>
          <w:b w:val="0"/>
          <w:sz w:val="24"/>
          <w:szCs w:val="28"/>
        </w:rPr>
        <w:t>Приложение 1</w:t>
      </w:r>
    </w:p>
    <w:p w:rsidR="00FC1173" w:rsidRPr="005D0640" w:rsidRDefault="00EF177D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 w:cs="Times New Roman"/>
          <w:b w:val="0"/>
          <w:sz w:val="24"/>
          <w:szCs w:val="28"/>
        </w:rPr>
        <w:t>к</w:t>
      </w:r>
      <w:proofErr w:type="gramEnd"/>
      <w:r w:rsidRPr="005D064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Положению </w:t>
      </w:r>
      <w:r w:rsidR="00FC1173">
        <w:rPr>
          <w:rFonts w:ascii="Times New Roman" w:hAnsi="Times New Roman"/>
          <w:b w:val="0"/>
          <w:sz w:val="24"/>
          <w:szCs w:val="28"/>
          <w:lang w:eastAsia="ar-SA"/>
        </w:rPr>
        <w:t xml:space="preserve"> </w:t>
      </w:r>
      <w:r w:rsidR="00FC1173"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об организации </w:t>
      </w:r>
    </w:p>
    <w:p w:rsidR="00FC1173" w:rsidRPr="005D0640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системы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внутреннего обеспечения </w:t>
      </w:r>
    </w:p>
    <w:p w:rsidR="00FC1173" w:rsidRPr="005D0640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соответствия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требованиям </w:t>
      </w:r>
    </w:p>
    <w:p w:rsidR="00FC1173" w:rsidRPr="005D0640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антимонопольного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законодательства </w:t>
      </w:r>
    </w:p>
    <w:p w:rsidR="00FC1173" w:rsidRPr="005D0640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3972DD">
        <w:rPr>
          <w:rFonts w:ascii="Times New Roman" w:hAnsi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/>
          <w:b w:val="0"/>
          <w:sz w:val="24"/>
          <w:szCs w:val="24"/>
        </w:rPr>
        <w:t xml:space="preserve"> муниципальном</w:t>
      </w:r>
      <w:proofErr w:type="gramEnd"/>
      <w:r w:rsidRPr="003972DD">
        <w:rPr>
          <w:rFonts w:ascii="Times New Roman" w:hAnsi="Times New Roman"/>
          <w:b w:val="0"/>
          <w:sz w:val="24"/>
          <w:szCs w:val="24"/>
        </w:rPr>
        <w:t xml:space="preserve"> образования</w:t>
      </w:r>
      <w:r w:rsidRPr="003972DD">
        <w:rPr>
          <w:rFonts w:ascii="Times New Roman" w:hAnsi="Times New Roman"/>
          <w:b w:val="0"/>
          <w:sz w:val="24"/>
          <w:szCs w:val="28"/>
          <w:lang w:eastAsia="ar-SA"/>
        </w:rPr>
        <w:t xml:space="preserve">  </w:t>
      </w:r>
      <w:r>
        <w:rPr>
          <w:rFonts w:ascii="Times New Roman" w:hAnsi="Times New Roman"/>
          <w:b w:val="0"/>
          <w:sz w:val="24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 w:val="0"/>
          <w:sz w:val="24"/>
          <w:szCs w:val="28"/>
          <w:lang w:eastAsia="ar-SA"/>
        </w:rPr>
        <w:t>Чародинский</w:t>
      </w:r>
      <w:proofErr w:type="spellEnd"/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 район», </w:t>
      </w:r>
    </w:p>
    <w:p w:rsidR="00FC1173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утвержденному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постановлением </w:t>
      </w:r>
    </w:p>
    <w:p w:rsidR="00FC1173" w:rsidRPr="005D0640" w:rsidRDefault="00FC1173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>
        <w:rPr>
          <w:rFonts w:ascii="Times New Roman" w:hAnsi="Times New Roman"/>
          <w:b w:val="0"/>
          <w:sz w:val="24"/>
          <w:szCs w:val="28"/>
          <w:lang w:eastAsia="ar-SA"/>
        </w:rPr>
        <w:t>администрации</w:t>
      </w:r>
      <w:proofErr w:type="gramEnd"/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 муниципального образования</w:t>
      </w:r>
    </w:p>
    <w:p w:rsidR="00FC1173" w:rsidRPr="00DE5DC7" w:rsidRDefault="00FC1173" w:rsidP="00FC1173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056FF4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 w:rsidRPr="00056FF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21 мая 2019 года №40</w:t>
      </w:r>
    </w:p>
    <w:p w:rsidR="005D0640" w:rsidRPr="00DE5DC7" w:rsidRDefault="005D0640" w:rsidP="00FC117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Карта рисков</w:t>
      </w: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984"/>
        <w:gridCol w:w="2059"/>
        <w:gridCol w:w="1557"/>
        <w:gridCol w:w="1878"/>
      </w:tblGrid>
      <w:tr w:rsidR="00EF177D" w:rsidRPr="00EF177D" w:rsidTr="00E2739C">
        <w:tc>
          <w:tcPr>
            <w:tcW w:w="426" w:type="dxa"/>
          </w:tcPr>
          <w:p w:rsidR="00EF177D" w:rsidRPr="00E2739C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418" w:type="dxa"/>
          </w:tcPr>
          <w:p w:rsidR="00EF177D" w:rsidRPr="00E2739C" w:rsidRDefault="00EF177D" w:rsidP="00E2739C">
            <w:pPr>
              <w:pStyle w:val="ConsPlusNormal"/>
              <w:tabs>
                <w:tab w:val="left" w:pos="851"/>
              </w:tabs>
              <w:ind w:left="-57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Выявленные риски</w:t>
            </w:r>
          </w:p>
        </w:tc>
        <w:tc>
          <w:tcPr>
            <w:tcW w:w="1276" w:type="dxa"/>
          </w:tcPr>
          <w:p w:rsidR="00EF177D" w:rsidRPr="00E2739C" w:rsidRDefault="00EF177D" w:rsidP="00E2739C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Описание рисков</w:t>
            </w:r>
          </w:p>
        </w:tc>
        <w:tc>
          <w:tcPr>
            <w:tcW w:w="1984" w:type="dxa"/>
          </w:tcPr>
          <w:p w:rsidR="00EF177D" w:rsidRPr="00E2739C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Причины возникновения рисков</w:t>
            </w:r>
          </w:p>
        </w:tc>
        <w:tc>
          <w:tcPr>
            <w:tcW w:w="2059" w:type="dxa"/>
          </w:tcPr>
          <w:p w:rsidR="00EF177D" w:rsidRPr="00E2739C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Мероприятия по минимизации и устранению рисков</w:t>
            </w:r>
          </w:p>
        </w:tc>
        <w:tc>
          <w:tcPr>
            <w:tcW w:w="1557" w:type="dxa"/>
          </w:tcPr>
          <w:p w:rsidR="00EF177D" w:rsidRPr="00E2739C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Наличие (отсутствие) остаточных рисков</w:t>
            </w:r>
          </w:p>
        </w:tc>
        <w:tc>
          <w:tcPr>
            <w:tcW w:w="1878" w:type="dxa"/>
          </w:tcPr>
          <w:p w:rsidR="00EF177D" w:rsidRPr="00E2739C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2739C">
              <w:rPr>
                <w:rFonts w:ascii="Times New Roman" w:hAnsi="Times New Roman" w:cs="Times New Roman"/>
                <w:b w:val="0"/>
              </w:rPr>
              <w:t>Вероятность повторного возникновения рисков</w:t>
            </w:r>
          </w:p>
        </w:tc>
      </w:tr>
      <w:tr w:rsidR="00EF177D" w:rsidRPr="00EF177D" w:rsidTr="00E2739C">
        <w:tc>
          <w:tcPr>
            <w:tcW w:w="4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2739C" w:rsidRPr="00EF177D" w:rsidTr="00E2739C">
        <w:tc>
          <w:tcPr>
            <w:tcW w:w="42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2739C" w:rsidRPr="00EF177D" w:rsidTr="00E2739C">
        <w:tc>
          <w:tcPr>
            <w:tcW w:w="42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2739C" w:rsidRPr="00EF177D" w:rsidTr="00E2739C">
        <w:tc>
          <w:tcPr>
            <w:tcW w:w="42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2739C" w:rsidRPr="00EF177D" w:rsidTr="00E2739C">
        <w:tc>
          <w:tcPr>
            <w:tcW w:w="42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2739C" w:rsidRPr="00EF177D" w:rsidRDefault="00E2739C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  <w:sectPr w:rsidR="00EF177D" w:rsidSect="00FC1173">
          <w:pgSz w:w="11907" w:h="16840" w:code="9"/>
          <w:pgMar w:top="851" w:right="425" w:bottom="851" w:left="851" w:header="709" w:footer="709" w:gutter="0"/>
          <w:cols w:space="708"/>
          <w:docGrid w:linePitch="360"/>
        </w:sectPr>
      </w:pPr>
    </w:p>
    <w:p w:rsidR="003972DD" w:rsidRPr="005D0640" w:rsidRDefault="00FC1173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 2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 w:cs="Times New Roman"/>
          <w:b w:val="0"/>
          <w:sz w:val="24"/>
          <w:szCs w:val="28"/>
        </w:rPr>
        <w:t>к</w:t>
      </w:r>
      <w:proofErr w:type="gramEnd"/>
      <w:r w:rsidRPr="005D064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Положению об организации 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системы внутреннего обеспечения 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соответствия требованиям 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антимонопольного законодательства 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3972DD">
        <w:rPr>
          <w:rFonts w:ascii="Times New Roman" w:hAnsi="Times New Roman"/>
          <w:b w:val="0"/>
          <w:sz w:val="24"/>
          <w:szCs w:val="24"/>
        </w:rPr>
        <w:t xml:space="preserve">в </w:t>
      </w:r>
      <w:r w:rsidR="00FC1173">
        <w:rPr>
          <w:rFonts w:ascii="Times New Roman" w:hAnsi="Times New Roman"/>
          <w:b w:val="0"/>
          <w:sz w:val="24"/>
          <w:szCs w:val="24"/>
        </w:rPr>
        <w:t xml:space="preserve"> муниципальном</w:t>
      </w:r>
      <w:proofErr w:type="gramEnd"/>
      <w:r w:rsidRPr="003972DD">
        <w:rPr>
          <w:rFonts w:ascii="Times New Roman" w:hAnsi="Times New Roman"/>
          <w:b w:val="0"/>
          <w:sz w:val="24"/>
          <w:szCs w:val="24"/>
        </w:rPr>
        <w:t xml:space="preserve"> образования</w:t>
      </w:r>
      <w:r w:rsidRPr="003972DD">
        <w:rPr>
          <w:rFonts w:ascii="Times New Roman" w:hAnsi="Times New Roman"/>
          <w:b w:val="0"/>
          <w:sz w:val="24"/>
          <w:szCs w:val="28"/>
          <w:lang w:eastAsia="ar-SA"/>
        </w:rPr>
        <w:t xml:space="preserve">  </w:t>
      </w:r>
      <w:r>
        <w:rPr>
          <w:rFonts w:ascii="Times New Roman" w:hAnsi="Times New Roman"/>
          <w:b w:val="0"/>
          <w:sz w:val="24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 w:val="0"/>
          <w:sz w:val="24"/>
          <w:szCs w:val="28"/>
          <w:lang w:eastAsia="ar-SA"/>
        </w:rPr>
        <w:t>Чародинский</w:t>
      </w:r>
      <w:proofErr w:type="spellEnd"/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 район»</w:t>
      </w:r>
      <w:r w:rsidR="00FC1173">
        <w:rPr>
          <w:rFonts w:ascii="Times New Roman" w:hAnsi="Times New Roman"/>
          <w:b w:val="0"/>
          <w:sz w:val="24"/>
          <w:szCs w:val="28"/>
          <w:lang w:eastAsia="ar-SA"/>
        </w:rPr>
        <w:t xml:space="preserve">, </w:t>
      </w:r>
    </w:p>
    <w:p w:rsidR="003972DD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утвержденному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</w:t>
      </w:r>
      <w:r w:rsidR="00FC1173">
        <w:rPr>
          <w:rFonts w:ascii="Times New Roman" w:hAnsi="Times New Roman"/>
          <w:b w:val="0"/>
          <w:sz w:val="24"/>
          <w:szCs w:val="28"/>
          <w:lang w:eastAsia="ar-SA"/>
        </w:rPr>
        <w:t xml:space="preserve">постановлением </w:t>
      </w:r>
    </w:p>
    <w:p w:rsidR="003972DD" w:rsidRPr="005D0640" w:rsidRDefault="003972DD" w:rsidP="003972DD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>
        <w:rPr>
          <w:rFonts w:ascii="Times New Roman" w:hAnsi="Times New Roman"/>
          <w:b w:val="0"/>
          <w:sz w:val="24"/>
          <w:szCs w:val="28"/>
          <w:lang w:eastAsia="ar-SA"/>
        </w:rPr>
        <w:t>администрации</w:t>
      </w:r>
      <w:proofErr w:type="gramEnd"/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 муниципального образования</w:t>
      </w:r>
    </w:p>
    <w:p w:rsidR="005D0640" w:rsidRPr="00DE5DC7" w:rsidRDefault="003972DD" w:rsidP="003972DD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056FF4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 w:rsidRPr="00056FF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C1173">
        <w:rPr>
          <w:rFonts w:ascii="Times New Roman" w:eastAsia="Times New Roman" w:hAnsi="Times New Roman"/>
          <w:sz w:val="24"/>
          <w:szCs w:val="28"/>
          <w:lang w:eastAsia="ru-RU"/>
        </w:rPr>
        <w:t>21 мая 2019 года №40</w:t>
      </w:r>
    </w:p>
    <w:p w:rsidR="00EF177D" w:rsidRDefault="00EF177D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8"/>
          <w:szCs w:val="26"/>
        </w:rPr>
      </w:pP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 xml:space="preserve">План мероприятий («дорожная карта») 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>по снижению рисков нарушения антимонопольного законодательства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</w:p>
    <w:tbl>
      <w:tblPr>
        <w:tblStyle w:val="a6"/>
        <w:tblW w:w="10277" w:type="dxa"/>
        <w:tblInd w:w="-388" w:type="dxa"/>
        <w:tblLook w:val="04A0" w:firstRow="1" w:lastRow="0" w:firstColumn="1" w:lastColumn="0" w:noHBand="0" w:noVBand="1"/>
      </w:tblPr>
      <w:tblGrid>
        <w:gridCol w:w="496"/>
        <w:gridCol w:w="2206"/>
        <w:gridCol w:w="2189"/>
        <w:gridCol w:w="2126"/>
        <w:gridCol w:w="1276"/>
        <w:gridCol w:w="1984"/>
      </w:tblGrid>
      <w:tr w:rsidR="00EF177D" w:rsidRPr="002D5227" w:rsidTr="00E2739C">
        <w:tc>
          <w:tcPr>
            <w:tcW w:w="49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№</w:t>
            </w:r>
          </w:p>
        </w:tc>
        <w:tc>
          <w:tcPr>
            <w:tcW w:w="220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Мероприятие</w:t>
            </w:r>
          </w:p>
        </w:tc>
        <w:tc>
          <w:tcPr>
            <w:tcW w:w="2189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Описание действий</w:t>
            </w:r>
          </w:p>
        </w:tc>
        <w:tc>
          <w:tcPr>
            <w:tcW w:w="212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Срок</w:t>
            </w:r>
          </w:p>
        </w:tc>
        <w:tc>
          <w:tcPr>
            <w:tcW w:w="1984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Показатель</w:t>
            </w:r>
          </w:p>
        </w:tc>
      </w:tr>
      <w:tr w:rsidR="00EF177D" w:rsidTr="00E2739C">
        <w:tc>
          <w:tcPr>
            <w:tcW w:w="49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0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89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2739C" w:rsidTr="00E2739C">
        <w:tc>
          <w:tcPr>
            <w:tcW w:w="49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0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89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2739C" w:rsidTr="00E2739C">
        <w:tc>
          <w:tcPr>
            <w:tcW w:w="49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0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89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2739C" w:rsidTr="00E2739C">
        <w:tc>
          <w:tcPr>
            <w:tcW w:w="49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0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89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2739C" w:rsidTr="00E2739C">
        <w:tc>
          <w:tcPr>
            <w:tcW w:w="49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0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89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E2739C" w:rsidRDefault="00E2739C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3B0473" w:rsidRDefault="003B0473" w:rsidP="00EF177D">
      <w:pPr>
        <w:widowControl w:val="0"/>
        <w:autoSpaceDE w:val="0"/>
        <w:autoSpaceDN w:val="0"/>
        <w:adjustRightInd w:val="0"/>
        <w:spacing w:after="0" w:line="240" w:lineRule="auto"/>
      </w:pPr>
    </w:p>
    <w:sectPr w:rsidR="003B0473" w:rsidSect="0002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0473"/>
    <w:rsid w:val="000151F0"/>
    <w:rsid w:val="00024C32"/>
    <w:rsid w:val="00056FF4"/>
    <w:rsid w:val="00067F51"/>
    <w:rsid w:val="000823BC"/>
    <w:rsid w:val="00087366"/>
    <w:rsid w:val="000B6E1A"/>
    <w:rsid w:val="000D324B"/>
    <w:rsid w:val="000E4F01"/>
    <w:rsid w:val="000E70D0"/>
    <w:rsid w:val="000F6A28"/>
    <w:rsid w:val="00112761"/>
    <w:rsid w:val="001312B7"/>
    <w:rsid w:val="001462CA"/>
    <w:rsid w:val="00150A16"/>
    <w:rsid w:val="001B095C"/>
    <w:rsid w:val="001D745F"/>
    <w:rsid w:val="001D7988"/>
    <w:rsid w:val="001F3B55"/>
    <w:rsid w:val="001F7303"/>
    <w:rsid w:val="001F7AC5"/>
    <w:rsid w:val="00207DD6"/>
    <w:rsid w:val="0025321C"/>
    <w:rsid w:val="00282423"/>
    <w:rsid w:val="002C29DF"/>
    <w:rsid w:val="002C3D70"/>
    <w:rsid w:val="002D5227"/>
    <w:rsid w:val="003277FA"/>
    <w:rsid w:val="003469FF"/>
    <w:rsid w:val="003710AB"/>
    <w:rsid w:val="00384DF1"/>
    <w:rsid w:val="00391825"/>
    <w:rsid w:val="003972DD"/>
    <w:rsid w:val="003B0473"/>
    <w:rsid w:val="003F27D0"/>
    <w:rsid w:val="003F5BC3"/>
    <w:rsid w:val="0043674E"/>
    <w:rsid w:val="004439CE"/>
    <w:rsid w:val="004478E2"/>
    <w:rsid w:val="00454DB0"/>
    <w:rsid w:val="004869F5"/>
    <w:rsid w:val="00486C62"/>
    <w:rsid w:val="0049651C"/>
    <w:rsid w:val="00497D04"/>
    <w:rsid w:val="004A3E9A"/>
    <w:rsid w:val="004D5CCD"/>
    <w:rsid w:val="004E5A34"/>
    <w:rsid w:val="0055329C"/>
    <w:rsid w:val="00570249"/>
    <w:rsid w:val="0057461D"/>
    <w:rsid w:val="00581767"/>
    <w:rsid w:val="005B0EA1"/>
    <w:rsid w:val="005B5B24"/>
    <w:rsid w:val="005D0640"/>
    <w:rsid w:val="005E2815"/>
    <w:rsid w:val="005F6810"/>
    <w:rsid w:val="006229FA"/>
    <w:rsid w:val="00627840"/>
    <w:rsid w:val="006624AF"/>
    <w:rsid w:val="00671870"/>
    <w:rsid w:val="006742E3"/>
    <w:rsid w:val="006B2FEF"/>
    <w:rsid w:val="006B616D"/>
    <w:rsid w:val="006F78BF"/>
    <w:rsid w:val="00700199"/>
    <w:rsid w:val="007122DA"/>
    <w:rsid w:val="00740199"/>
    <w:rsid w:val="00741327"/>
    <w:rsid w:val="00742C5B"/>
    <w:rsid w:val="007432C5"/>
    <w:rsid w:val="007A517E"/>
    <w:rsid w:val="007D5C2A"/>
    <w:rsid w:val="00800CA0"/>
    <w:rsid w:val="0082728F"/>
    <w:rsid w:val="008370A4"/>
    <w:rsid w:val="008411B3"/>
    <w:rsid w:val="0084529B"/>
    <w:rsid w:val="00877811"/>
    <w:rsid w:val="008A4C00"/>
    <w:rsid w:val="008B20CA"/>
    <w:rsid w:val="008C119F"/>
    <w:rsid w:val="008D7EDD"/>
    <w:rsid w:val="008E0A61"/>
    <w:rsid w:val="008E4A2F"/>
    <w:rsid w:val="0092399C"/>
    <w:rsid w:val="009319DD"/>
    <w:rsid w:val="00973DF7"/>
    <w:rsid w:val="00995E91"/>
    <w:rsid w:val="009C3F2C"/>
    <w:rsid w:val="009E5248"/>
    <w:rsid w:val="00A01F7D"/>
    <w:rsid w:val="00A04CC8"/>
    <w:rsid w:val="00A221B8"/>
    <w:rsid w:val="00A2435D"/>
    <w:rsid w:val="00A2628C"/>
    <w:rsid w:val="00A428B8"/>
    <w:rsid w:val="00A60BA7"/>
    <w:rsid w:val="00AC7D29"/>
    <w:rsid w:val="00B1016E"/>
    <w:rsid w:val="00B329B0"/>
    <w:rsid w:val="00B32DF8"/>
    <w:rsid w:val="00B71520"/>
    <w:rsid w:val="00B71F52"/>
    <w:rsid w:val="00B8129C"/>
    <w:rsid w:val="00BF0536"/>
    <w:rsid w:val="00C16639"/>
    <w:rsid w:val="00C4569C"/>
    <w:rsid w:val="00C53891"/>
    <w:rsid w:val="00C56DC8"/>
    <w:rsid w:val="00C71251"/>
    <w:rsid w:val="00CA0970"/>
    <w:rsid w:val="00CB6BB5"/>
    <w:rsid w:val="00CD1F87"/>
    <w:rsid w:val="00D013B9"/>
    <w:rsid w:val="00D2030D"/>
    <w:rsid w:val="00D4215A"/>
    <w:rsid w:val="00D50BA8"/>
    <w:rsid w:val="00D7396D"/>
    <w:rsid w:val="00D84371"/>
    <w:rsid w:val="00DA39C7"/>
    <w:rsid w:val="00DA4823"/>
    <w:rsid w:val="00DB0932"/>
    <w:rsid w:val="00DB701B"/>
    <w:rsid w:val="00DC79BC"/>
    <w:rsid w:val="00DC7E84"/>
    <w:rsid w:val="00DD56C5"/>
    <w:rsid w:val="00DE5DC7"/>
    <w:rsid w:val="00DF04AA"/>
    <w:rsid w:val="00E06D5A"/>
    <w:rsid w:val="00E2739C"/>
    <w:rsid w:val="00E563B0"/>
    <w:rsid w:val="00E80EC5"/>
    <w:rsid w:val="00E930F3"/>
    <w:rsid w:val="00EA32EF"/>
    <w:rsid w:val="00EA38B5"/>
    <w:rsid w:val="00EF177D"/>
    <w:rsid w:val="00EF5F72"/>
    <w:rsid w:val="00F27354"/>
    <w:rsid w:val="00F27B07"/>
    <w:rsid w:val="00F67ED1"/>
    <w:rsid w:val="00FB34B4"/>
    <w:rsid w:val="00FC1173"/>
    <w:rsid w:val="00FC789B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1342E-5345-4E01-86B8-02397C1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basedOn w:val="a0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CA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24226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2019-05-21T14:37:00Z</cp:lastPrinted>
  <dcterms:created xsi:type="dcterms:W3CDTF">2019-05-16T08:22:00Z</dcterms:created>
  <dcterms:modified xsi:type="dcterms:W3CDTF">2019-05-21T14:37:00Z</dcterms:modified>
</cp:coreProperties>
</file>