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B1" w:rsidRDefault="005920B1" w:rsidP="005920B1">
      <w:r>
        <w:t>Федеральным законом от 11.06.2022 № 178-ФЗ внесено изменение в Федеральный закон «Устав железнодорожного транспорта Российской Федерации».</w:t>
      </w:r>
    </w:p>
    <w:p w:rsidR="005920B1" w:rsidRDefault="005920B1" w:rsidP="005920B1"/>
    <w:p w:rsidR="0052004A" w:rsidRDefault="005920B1" w:rsidP="005920B1">
      <w:r>
        <w:t>Теперь возраст детей, которых пассажиры вправе провозить бесплатно при проезде в поездах пригородного сообщения, увеличен с 5 до 7 лет.</w:t>
      </w:r>
      <w:bookmarkStart w:id="0" w:name="_GoBack"/>
      <w:bookmarkEnd w:id="0"/>
    </w:p>
    <w:sectPr w:rsidR="00520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A0"/>
    <w:rsid w:val="0052004A"/>
    <w:rsid w:val="005920B1"/>
    <w:rsid w:val="005B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F647F-7C55-4EFA-A717-7CC850A7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2022-12-27T12:26:00Z</dcterms:created>
  <dcterms:modified xsi:type="dcterms:W3CDTF">2022-12-27T12:26:00Z</dcterms:modified>
</cp:coreProperties>
</file>